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bookmarkStart w:id="0" w:name="_Hlk159324131"/>
      <w:r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>RÉPUBLIQUE TUNISIENNE</w:t>
      </w:r>
    </w:p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>MINISTÈRE DE L’AGRICULTURE, DES RESSOURCES HYDRAULIQUES</w:t>
      </w:r>
    </w:p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 xml:space="preserve"> ET DE LA PÊCHE MARITIME</w:t>
      </w:r>
    </w:p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>OFFICE DES CÉRÉALES</w:t>
      </w:r>
    </w:p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>UNITÉ DE COORDINATION DU PROJET</w:t>
      </w:r>
    </w:p>
    <w:p w:rsidR="009B577A" w:rsidRPr="004008D5" w:rsidRDefault="009B577A" w:rsidP="00312304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PROJET D’APPUI D’URGENCE A LA SÉCURITÉ ALIMENTAIRE EN TUNISIEPAUSAT 2023 </w:t>
      </w:r>
      <w:r w:rsidR="00312304"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>–</w:t>
      </w:r>
      <w:r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2026</w:t>
      </w:r>
    </w:p>
    <w:p w:rsidR="00312304" w:rsidRPr="004008D5" w:rsidRDefault="00312304" w:rsidP="00312304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  <w:rtl/>
        </w:rPr>
      </w:pPr>
    </w:p>
    <w:p w:rsidR="009B577A" w:rsidRPr="004008D5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  <w:r w:rsidRPr="004008D5">
        <w:rPr>
          <w:rFonts w:asciiTheme="minorHAnsi" w:hAnsiTheme="minorHAnsi" w:cstheme="minorHAnsi"/>
          <w:b/>
          <w:sz w:val="24"/>
          <w:szCs w:val="24"/>
          <w:u w:val="single"/>
        </w:rPr>
        <w:t xml:space="preserve">AVIS RECTIFICATIF </w:t>
      </w:r>
      <w:r w:rsidR="008E157B">
        <w:rPr>
          <w:rFonts w:asciiTheme="minorHAnsi" w:hAnsiTheme="minorHAnsi" w:cstheme="minorHAnsi"/>
          <w:b/>
          <w:sz w:val="24"/>
          <w:szCs w:val="24"/>
          <w:u w:val="single"/>
        </w:rPr>
        <w:t xml:space="preserve">RELATIF </w:t>
      </w:r>
      <w:r w:rsidR="002E331C">
        <w:rPr>
          <w:rFonts w:asciiTheme="minorHAnsi" w:hAnsiTheme="minorHAnsi" w:cstheme="minorHAnsi"/>
          <w:b/>
          <w:sz w:val="24"/>
          <w:szCs w:val="24"/>
          <w:u w:val="single"/>
        </w:rPr>
        <w:t xml:space="preserve">À </w:t>
      </w:r>
      <w:r w:rsidR="008E157B">
        <w:rPr>
          <w:rFonts w:asciiTheme="minorHAnsi" w:hAnsiTheme="minorHAnsi" w:cstheme="minorHAnsi"/>
          <w:b/>
          <w:sz w:val="24"/>
          <w:szCs w:val="24"/>
          <w:u w:val="single"/>
        </w:rPr>
        <w:t xml:space="preserve">L’AVIS </w:t>
      </w:r>
      <w:r w:rsidRPr="004008D5">
        <w:rPr>
          <w:rFonts w:asciiTheme="minorHAnsi" w:hAnsiTheme="minorHAnsi" w:cstheme="minorHAnsi"/>
          <w:b/>
          <w:sz w:val="24"/>
          <w:szCs w:val="24"/>
          <w:u w:val="single"/>
        </w:rPr>
        <w:t xml:space="preserve">DE MANIFESTATION D’INTÉRÊT </w:t>
      </w:r>
      <w:r w:rsidRPr="004008D5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N° 01/2024</w:t>
      </w:r>
    </w:p>
    <w:p w:rsidR="009B577A" w:rsidRPr="004008D5" w:rsidRDefault="00907888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  <w:r w:rsidRPr="004008D5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(</w:t>
      </w:r>
      <w:r w:rsidR="009B577A" w:rsidRPr="004008D5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Publié à l’édition de ce journal du 07/02/2024</w:t>
      </w:r>
      <w:r w:rsidRPr="004008D5"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  <w:t>)</w:t>
      </w:r>
    </w:p>
    <w:p w:rsidR="00312304" w:rsidRPr="004008D5" w:rsidRDefault="00312304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u w:val="single"/>
          <w:lang w:bidi="ar-TN"/>
        </w:rPr>
      </w:pPr>
    </w:p>
    <w:p w:rsidR="009B577A" w:rsidRPr="004008D5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rtl/>
        </w:rPr>
      </w:pPr>
      <w:r w:rsidRPr="004008D5">
        <w:rPr>
          <w:rFonts w:asciiTheme="minorHAnsi" w:hAnsiTheme="minorHAnsi" w:cstheme="minorHAnsi"/>
          <w:b/>
          <w:sz w:val="24"/>
          <w:szCs w:val="24"/>
        </w:rPr>
        <w:t xml:space="preserve">RECRUTEMENT D’UN BUREAU D’ÉTUDES MULTIDISCIPLINAIRES </w:t>
      </w:r>
    </w:p>
    <w:p w:rsidR="009B577A" w:rsidRPr="004008D5" w:rsidRDefault="009B577A" w:rsidP="00907888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  <w:rtl/>
        </w:rPr>
      </w:pPr>
      <w:r w:rsidRPr="004008D5">
        <w:rPr>
          <w:rFonts w:asciiTheme="minorHAnsi" w:hAnsiTheme="minorHAnsi" w:cstheme="minorHAnsi"/>
          <w:b/>
          <w:sz w:val="24"/>
          <w:szCs w:val="24"/>
        </w:rPr>
        <w:t xml:space="preserve">SPÉCIALISÉ DANS LE DOMAINE DES ÉTUDES DE CONSTRUCTION DE GÉNIE CIVIL, GÉNIE MÉCANIQUE,GÉNIE ÉLECTRIQUE, STRUCTURE MÉTALLIQUE, ETC …OU GROUPEMENTS </w:t>
      </w:r>
    </w:p>
    <w:p w:rsidR="009B577A" w:rsidRPr="004008D5" w:rsidRDefault="009B577A" w:rsidP="00312304">
      <w:pPr>
        <w:tabs>
          <w:tab w:val="left" w:pos="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08D5">
        <w:rPr>
          <w:rFonts w:asciiTheme="minorHAnsi" w:hAnsiTheme="minorHAnsi" w:cstheme="minorHAnsi"/>
          <w:b/>
          <w:sz w:val="24"/>
          <w:szCs w:val="24"/>
        </w:rPr>
        <w:t>DE BUREAUX D’ÉTUDES ET/OU INGÉNIEURS CONSEILS</w:t>
      </w:r>
    </w:p>
    <w:p w:rsidR="009B577A" w:rsidRPr="004008D5" w:rsidRDefault="009B577A" w:rsidP="00312304">
      <w:pPr>
        <w:rPr>
          <w:rFonts w:asciiTheme="minorHAnsi" w:hAnsiTheme="minorHAnsi" w:cstheme="minorHAnsi"/>
          <w:sz w:val="24"/>
          <w:szCs w:val="24"/>
        </w:rPr>
      </w:pPr>
    </w:p>
    <w:p w:rsidR="009B577A" w:rsidRPr="004008D5" w:rsidRDefault="009B577A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z w:val="24"/>
          <w:lang w:val="fr-FR"/>
        </w:rPr>
      </w:pPr>
      <w:r w:rsidRPr="004008D5">
        <w:rPr>
          <w:rFonts w:asciiTheme="minorHAnsi" w:hAnsiTheme="minorHAnsi" w:cstheme="minorHAnsi"/>
          <w:sz w:val="24"/>
        </w:rPr>
        <w:t>Il estporté</w:t>
      </w:r>
      <w:r w:rsidR="00DF2566" w:rsidRPr="004008D5">
        <w:rPr>
          <w:rFonts w:asciiTheme="minorHAnsi" w:hAnsiTheme="minorHAnsi" w:cstheme="minorHAnsi"/>
          <w:sz w:val="24"/>
        </w:rPr>
        <w:t xml:space="preserve">à la </w:t>
      </w:r>
      <w:r w:rsidRPr="004008D5">
        <w:rPr>
          <w:rFonts w:asciiTheme="minorHAnsi" w:hAnsiTheme="minorHAnsi" w:cstheme="minorHAnsi"/>
          <w:sz w:val="24"/>
        </w:rPr>
        <w:t>connaissance</w:t>
      </w:r>
      <w:r w:rsidR="00DF2566" w:rsidRPr="004008D5">
        <w:rPr>
          <w:rFonts w:asciiTheme="minorHAnsi" w:hAnsiTheme="minorHAnsi" w:cstheme="minorHAnsi"/>
          <w:sz w:val="24"/>
        </w:rPr>
        <w:t xml:space="preserve">des </w:t>
      </w:r>
      <w:r w:rsidRPr="004008D5">
        <w:rPr>
          <w:rFonts w:asciiTheme="minorHAnsi" w:hAnsiTheme="minorHAnsi" w:cstheme="minorHAnsi"/>
          <w:sz w:val="24"/>
          <w:lang w:val="fr-FR"/>
        </w:rPr>
        <w:t>bureaux d’études ou groupement</w:t>
      </w:r>
      <w:r w:rsidR="00DF2566" w:rsidRPr="004008D5">
        <w:rPr>
          <w:rFonts w:asciiTheme="minorHAnsi" w:hAnsiTheme="minorHAnsi" w:cstheme="minorHAnsi"/>
          <w:sz w:val="24"/>
          <w:lang w:val="fr-FR"/>
        </w:rPr>
        <w:t>s</w:t>
      </w:r>
      <w:r w:rsidRPr="004008D5">
        <w:rPr>
          <w:rFonts w:asciiTheme="minorHAnsi" w:hAnsiTheme="minorHAnsi" w:cstheme="minorHAnsi"/>
          <w:sz w:val="24"/>
          <w:lang w:val="fr-FR"/>
        </w:rPr>
        <w:t xml:space="preserve"> de bureaux d’études et/ou ingénieurs conseils d’origine tunisienne et étrangère intéressés à présenter leur candidature, les modifications </w:t>
      </w:r>
      <w:r w:rsidR="00FF328A">
        <w:rPr>
          <w:rFonts w:asciiTheme="minorHAnsi" w:hAnsiTheme="minorHAnsi" w:cstheme="minorHAnsi"/>
          <w:sz w:val="24"/>
          <w:lang w:val="fr-FR"/>
        </w:rPr>
        <w:t xml:space="preserve">et les précisions </w:t>
      </w:r>
      <w:r w:rsidRPr="004008D5">
        <w:rPr>
          <w:rFonts w:asciiTheme="minorHAnsi" w:hAnsiTheme="minorHAnsi" w:cstheme="minorHAnsi"/>
          <w:sz w:val="24"/>
          <w:lang w:val="fr-FR"/>
        </w:rPr>
        <w:t>suivantes apportées</w:t>
      </w:r>
      <w:r w:rsidR="004008D5" w:rsidRPr="00FF328A">
        <w:rPr>
          <w:rFonts w:asciiTheme="minorHAnsi" w:hAnsiTheme="minorHAnsi" w:cstheme="minorHAnsi"/>
          <w:sz w:val="24"/>
          <w:lang w:val="fr-FR"/>
        </w:rPr>
        <w:t xml:space="preserve">à l’AMI N° 1/2024et </w:t>
      </w:r>
      <w:r w:rsidRPr="00FF328A">
        <w:rPr>
          <w:rFonts w:asciiTheme="minorHAnsi" w:hAnsiTheme="minorHAnsi" w:cstheme="minorHAnsi"/>
          <w:sz w:val="24"/>
          <w:lang w:val="fr-FR"/>
        </w:rPr>
        <w:t xml:space="preserve">aux </w:t>
      </w:r>
      <w:r w:rsidR="00907888" w:rsidRPr="00FF328A">
        <w:rPr>
          <w:rFonts w:asciiTheme="minorHAnsi" w:hAnsiTheme="minorHAnsi" w:cstheme="minorHAnsi"/>
          <w:sz w:val="24"/>
          <w:lang w:val="fr-FR"/>
        </w:rPr>
        <w:t>TDRs</w:t>
      </w:r>
      <w:r w:rsidR="004008D5" w:rsidRPr="00FF328A">
        <w:rPr>
          <w:rFonts w:asciiTheme="minorHAnsi" w:hAnsiTheme="minorHAnsi" w:cstheme="minorHAnsi"/>
          <w:sz w:val="24"/>
          <w:lang w:val="fr-FR"/>
        </w:rPr>
        <w:t xml:space="preserve"> correspondants </w:t>
      </w:r>
      <w:r w:rsidR="00997CA6" w:rsidRPr="00FF328A">
        <w:rPr>
          <w:rFonts w:asciiTheme="minorHAnsi" w:hAnsiTheme="minorHAnsi" w:cstheme="minorHAnsi"/>
          <w:szCs w:val="22"/>
        </w:rPr>
        <w:t xml:space="preserve">aux études techniques préalables aux travaux de réhabilitation du silo portuaire de l’Office des Céréales à Radés et son extension d’unecapacitéadditionnelle de </w:t>
      </w:r>
      <w:r w:rsidR="008E157B" w:rsidRPr="00FF328A">
        <w:rPr>
          <w:rFonts w:asciiTheme="minorHAnsi" w:hAnsiTheme="minorHAnsi" w:cstheme="minorHAnsi"/>
          <w:szCs w:val="22"/>
        </w:rPr>
        <w:t>stockage</w:t>
      </w:r>
      <w:r w:rsidR="008E157B">
        <w:rPr>
          <w:rFonts w:asciiTheme="minorHAnsi" w:hAnsiTheme="minorHAnsi" w:cstheme="minorHAnsi"/>
          <w:szCs w:val="22"/>
        </w:rPr>
        <w:t xml:space="preserve"> :</w:t>
      </w:r>
    </w:p>
    <w:p w:rsidR="00DF2566" w:rsidRPr="004008D5" w:rsidRDefault="00DF2566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z w:val="24"/>
          <w:lang w:val="fr-FR"/>
        </w:rPr>
      </w:pPr>
    </w:p>
    <w:p w:rsidR="009B577A" w:rsidRPr="004008D5" w:rsidRDefault="00DF2566" w:rsidP="004008D5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4008D5">
        <w:rPr>
          <w:rFonts w:asciiTheme="minorHAnsi" w:hAnsiTheme="minorHAnsi" w:cstheme="minorHAnsi"/>
          <w:sz w:val="24"/>
        </w:rPr>
        <w:t>L’étude</w:t>
      </w:r>
      <w:r w:rsidR="009B577A" w:rsidRPr="004008D5">
        <w:rPr>
          <w:rFonts w:asciiTheme="minorHAnsi" w:hAnsiTheme="minorHAnsi" w:cstheme="minorHAnsi"/>
          <w:sz w:val="24"/>
        </w:rPr>
        <w:t xml:space="preserve"> de l’extension de la capacité de stockage du silo de Radès portera sur l’augmentation du volume de l’extension de 40000 tonnes au lieu des 20000 tonnes annoncées au niveau de l'AMI N° 01/2024 publié le 07 </w:t>
      </w:r>
      <w:r w:rsidR="00907888" w:rsidRPr="004008D5">
        <w:rPr>
          <w:rFonts w:asciiTheme="minorHAnsi" w:hAnsiTheme="minorHAnsi" w:cstheme="minorHAnsi"/>
          <w:sz w:val="24"/>
        </w:rPr>
        <w:t>février</w:t>
      </w:r>
      <w:r w:rsidR="009B577A" w:rsidRPr="004008D5">
        <w:rPr>
          <w:rFonts w:asciiTheme="minorHAnsi" w:hAnsiTheme="minorHAnsi" w:cstheme="minorHAnsi"/>
          <w:sz w:val="24"/>
        </w:rPr>
        <w:t xml:space="preserve"> 2024.</w:t>
      </w:r>
    </w:p>
    <w:p w:rsidR="00DF2566" w:rsidRPr="004008D5" w:rsidRDefault="00DF2566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B577A" w:rsidRPr="004008D5" w:rsidRDefault="00DF2566" w:rsidP="004008D5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4008D5">
        <w:rPr>
          <w:rFonts w:asciiTheme="minorHAnsi" w:hAnsiTheme="minorHAnsi" w:cstheme="minorHAnsi"/>
          <w:sz w:val="24"/>
        </w:rPr>
        <w:t>La</w:t>
      </w:r>
      <w:r w:rsidR="009B577A" w:rsidRPr="004008D5">
        <w:rPr>
          <w:rFonts w:asciiTheme="minorHAnsi" w:hAnsiTheme="minorHAnsi" w:cstheme="minorHAnsi"/>
          <w:sz w:val="24"/>
        </w:rPr>
        <w:t xml:space="preserve"> catégorie des bureaux d'études autorisés à participer </w:t>
      </w:r>
      <w:r w:rsidRPr="004008D5">
        <w:rPr>
          <w:rFonts w:asciiTheme="minorHAnsi" w:hAnsiTheme="minorHAnsi" w:cstheme="minorHAnsi"/>
          <w:sz w:val="24"/>
        </w:rPr>
        <w:t xml:space="preserve">à </w:t>
      </w:r>
      <w:r w:rsidR="00907888" w:rsidRPr="004008D5">
        <w:rPr>
          <w:rFonts w:asciiTheme="minorHAnsi" w:hAnsiTheme="minorHAnsi" w:cstheme="minorHAnsi"/>
          <w:sz w:val="24"/>
        </w:rPr>
        <w:t>l’AMI</w:t>
      </w:r>
      <w:r w:rsidR="009B577A" w:rsidRPr="004008D5">
        <w:rPr>
          <w:rFonts w:asciiTheme="minorHAnsi" w:hAnsiTheme="minorHAnsi" w:cstheme="minorHAnsi"/>
          <w:sz w:val="24"/>
        </w:rPr>
        <w:t xml:space="preserve"> 01/2024 est la catégorie A3 conformément à ce qui est indiqué </w:t>
      </w:r>
      <w:r w:rsidR="008E157B">
        <w:rPr>
          <w:rFonts w:asciiTheme="minorHAnsi" w:hAnsiTheme="minorHAnsi" w:cstheme="minorHAnsi"/>
          <w:sz w:val="24"/>
        </w:rPr>
        <w:t>à</w:t>
      </w:r>
      <w:r w:rsidRPr="004008D5">
        <w:rPr>
          <w:rFonts w:asciiTheme="minorHAnsi" w:hAnsiTheme="minorHAnsi" w:cstheme="minorHAnsi"/>
          <w:sz w:val="24"/>
        </w:rPr>
        <w:t xml:space="preserve"> l’AMI</w:t>
      </w:r>
      <w:r w:rsidR="009B577A" w:rsidRPr="004008D5">
        <w:rPr>
          <w:rFonts w:asciiTheme="minorHAnsi" w:hAnsiTheme="minorHAnsi" w:cstheme="minorHAnsi"/>
          <w:sz w:val="24"/>
        </w:rPr>
        <w:t xml:space="preserve">. La mention A2 de la catégorie indiquée au niveau </w:t>
      </w:r>
      <w:r w:rsidRPr="004008D5">
        <w:rPr>
          <w:rFonts w:asciiTheme="minorHAnsi" w:hAnsiTheme="minorHAnsi" w:cstheme="minorHAnsi"/>
          <w:sz w:val="24"/>
        </w:rPr>
        <w:t>des</w:t>
      </w:r>
      <w:r w:rsidR="009B577A" w:rsidRPr="004008D5">
        <w:rPr>
          <w:rFonts w:asciiTheme="minorHAnsi" w:hAnsiTheme="minorHAnsi" w:cstheme="minorHAnsi"/>
          <w:sz w:val="24"/>
        </w:rPr>
        <w:t xml:space="preserve"> TDRs correspondants sera corrigée par la catégorie A3</w:t>
      </w:r>
    </w:p>
    <w:p w:rsidR="009B577A" w:rsidRPr="004008D5" w:rsidRDefault="009B577A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B577A" w:rsidRPr="004008D5" w:rsidRDefault="00C51151" w:rsidP="004E4F8D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</w:rPr>
      </w:pPr>
      <w:r w:rsidRPr="004008D5">
        <w:rPr>
          <w:rFonts w:asciiTheme="minorHAnsi" w:hAnsiTheme="minorHAnsi" w:cstheme="minorHAnsi"/>
          <w:sz w:val="24"/>
        </w:rPr>
        <w:t>L</w:t>
      </w:r>
      <w:r w:rsidR="009B577A" w:rsidRPr="004008D5">
        <w:rPr>
          <w:rFonts w:asciiTheme="minorHAnsi" w:hAnsiTheme="minorHAnsi" w:cstheme="minorHAnsi"/>
          <w:sz w:val="24"/>
        </w:rPr>
        <w:t>e</w:t>
      </w:r>
      <w:r w:rsidR="00DF2566" w:rsidRPr="004008D5">
        <w:rPr>
          <w:rFonts w:asciiTheme="minorHAnsi" w:hAnsiTheme="minorHAnsi" w:cstheme="minorHAnsi"/>
          <w:sz w:val="24"/>
        </w:rPr>
        <w:t>s</w:t>
      </w:r>
      <w:r w:rsidR="009B577A" w:rsidRPr="004008D5">
        <w:rPr>
          <w:rFonts w:asciiTheme="minorHAnsi" w:hAnsiTheme="minorHAnsi" w:cstheme="minorHAnsi"/>
          <w:sz w:val="24"/>
        </w:rPr>
        <w:t xml:space="preserve"> TDR</w:t>
      </w:r>
      <w:r w:rsidR="00DF2566" w:rsidRPr="004008D5">
        <w:rPr>
          <w:rFonts w:asciiTheme="minorHAnsi" w:hAnsiTheme="minorHAnsi" w:cstheme="minorHAnsi"/>
          <w:sz w:val="24"/>
        </w:rPr>
        <w:t>s</w:t>
      </w:r>
      <w:r w:rsidR="004008D5" w:rsidRPr="004008D5">
        <w:rPr>
          <w:rFonts w:asciiTheme="minorHAnsi" w:hAnsiTheme="minorHAnsi" w:cstheme="minorHAnsi"/>
          <w:sz w:val="24"/>
        </w:rPr>
        <w:t>,</w:t>
      </w:r>
      <w:r w:rsidR="009B577A" w:rsidRPr="004008D5">
        <w:rPr>
          <w:rFonts w:asciiTheme="minorHAnsi" w:hAnsiTheme="minorHAnsi" w:cstheme="minorHAnsi"/>
          <w:sz w:val="24"/>
        </w:rPr>
        <w:t xml:space="preserve"> relatif</w:t>
      </w:r>
      <w:r w:rsidR="008E157B">
        <w:rPr>
          <w:rFonts w:asciiTheme="minorHAnsi" w:hAnsiTheme="minorHAnsi" w:cstheme="minorHAnsi"/>
          <w:sz w:val="24"/>
        </w:rPr>
        <w:t>s</w:t>
      </w:r>
      <w:r w:rsidR="009B577A" w:rsidRPr="004008D5">
        <w:rPr>
          <w:rFonts w:asciiTheme="minorHAnsi" w:hAnsiTheme="minorHAnsi" w:cstheme="minorHAnsi"/>
          <w:sz w:val="24"/>
        </w:rPr>
        <w:t xml:space="preserve"> à l’AMI 01/2024, </w:t>
      </w:r>
      <w:r w:rsidR="000838D1">
        <w:rPr>
          <w:rFonts w:asciiTheme="minorHAnsi" w:hAnsiTheme="minorHAnsi" w:cstheme="minorHAnsi"/>
          <w:sz w:val="24"/>
        </w:rPr>
        <w:t>corrigés</w:t>
      </w:r>
      <w:r w:rsidR="009B577A" w:rsidRPr="004008D5">
        <w:rPr>
          <w:rFonts w:asciiTheme="minorHAnsi" w:hAnsiTheme="minorHAnsi" w:cstheme="minorHAnsi"/>
          <w:sz w:val="24"/>
        </w:rPr>
        <w:t xml:space="preserve">conformément aux éléments d’information cités ci-dessus  sont disponibles sur le site de l’Office des Céréales </w:t>
      </w:r>
      <w:hyperlink r:id="rId5" w:history="1">
        <w:r w:rsidR="009B577A" w:rsidRPr="004008D5">
          <w:rPr>
            <w:rStyle w:val="Lienhypertexte"/>
            <w:rFonts w:asciiTheme="minorHAnsi" w:hAnsiTheme="minorHAnsi" w:cstheme="minorHAnsi"/>
            <w:color w:val="auto"/>
            <w:sz w:val="24"/>
          </w:rPr>
          <w:t>www.oc.com.tn</w:t>
        </w:r>
      </w:hyperlink>
      <w:r w:rsidRPr="004008D5">
        <w:rPr>
          <w:rFonts w:asciiTheme="minorHAnsi" w:hAnsiTheme="minorHAnsi" w:cstheme="minorHAnsi"/>
          <w:sz w:val="24"/>
        </w:rPr>
        <w:t>.</w:t>
      </w:r>
    </w:p>
    <w:p w:rsidR="00DF2566" w:rsidRPr="004008D5" w:rsidRDefault="00DF2566" w:rsidP="0090788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51151" w:rsidRPr="004008D5" w:rsidRDefault="004E4F8D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z w:val="24"/>
        </w:rPr>
        <w:t xml:space="preserve">Il est à rappeler que </w:t>
      </w:r>
      <w:r w:rsidR="008E157B">
        <w:rPr>
          <w:rFonts w:asciiTheme="minorHAnsi" w:hAnsiTheme="minorHAnsi" w:cstheme="minorHAnsi"/>
          <w:sz w:val="24"/>
        </w:rPr>
        <w:t>l</w:t>
      </w:r>
      <w:r w:rsidR="00C51151" w:rsidRPr="004008D5">
        <w:rPr>
          <w:rFonts w:asciiTheme="minorHAnsi" w:hAnsiTheme="minorHAnsi" w:cstheme="minorHAnsi"/>
          <w:sz w:val="24"/>
        </w:rPr>
        <w:t>es expressions d'intérêt</w:t>
      </w:r>
      <w:r w:rsidR="00C51151" w:rsidRPr="004008D5">
        <w:rPr>
          <w:rFonts w:asciiTheme="minorHAnsi" w:hAnsiTheme="minorHAnsi" w:cstheme="minorHAnsi"/>
          <w:sz w:val="24"/>
          <w:lang w:val="fr-FR" w:eastAsia="fr-FR"/>
        </w:rPr>
        <w:t xml:space="preserve">doivent présenter </w:t>
      </w:r>
      <w:r w:rsidR="00C51151" w:rsidRPr="004008D5">
        <w:rPr>
          <w:rFonts w:asciiTheme="minorHAnsi" w:hAnsiTheme="minorHAnsi" w:cstheme="minorHAnsi"/>
          <w:spacing w:val="-2"/>
          <w:sz w:val="24"/>
        </w:rPr>
        <w:t>clairement</w:t>
      </w:r>
      <w:r w:rsidR="00C51151" w:rsidRPr="004008D5">
        <w:rPr>
          <w:rFonts w:asciiTheme="minorHAnsi" w:hAnsiTheme="minorHAnsi" w:cstheme="minorHAnsi"/>
          <w:sz w:val="24"/>
          <w:lang w:val="fr-FR" w:eastAsia="fr-FR"/>
        </w:rPr>
        <w:t xml:space="preserve">la qualification, l’ancienneté et les références </w:t>
      </w:r>
      <w:r w:rsidR="00C51151" w:rsidRPr="004008D5">
        <w:rPr>
          <w:rFonts w:asciiTheme="minorHAnsi" w:hAnsiTheme="minorHAnsi" w:cstheme="minorHAnsi"/>
          <w:spacing w:val="-2"/>
          <w:sz w:val="24"/>
        </w:rPr>
        <w:t xml:space="preserve">du </w:t>
      </w:r>
      <w:r w:rsidR="00C51151" w:rsidRPr="004008D5">
        <w:rPr>
          <w:rFonts w:asciiTheme="minorHAnsi" w:hAnsiTheme="minorHAnsi" w:cstheme="minorHAnsi"/>
          <w:sz w:val="24"/>
        </w:rPr>
        <w:t>bureau d’étudesougroupement de bureaux d’études et/ouingénieurs conseils et doiventêtre</w:t>
      </w:r>
      <w:r w:rsidR="00C51151" w:rsidRPr="004008D5">
        <w:rPr>
          <w:rFonts w:asciiTheme="minorHAnsi" w:hAnsiTheme="minorHAnsi" w:cstheme="minorHAnsi"/>
          <w:spacing w:val="-2"/>
          <w:sz w:val="24"/>
        </w:rPr>
        <w:t>envoyées</w:t>
      </w:r>
      <w:r w:rsidR="00C51151" w:rsidRPr="004008D5">
        <w:rPr>
          <w:rFonts w:asciiTheme="minorHAnsi" w:hAnsiTheme="minorHAnsi" w:cstheme="minorHAnsi"/>
          <w:b/>
          <w:bCs/>
          <w:spacing w:val="-2"/>
          <w:sz w:val="24"/>
        </w:rPr>
        <w:t>avant le 13/03/2024</w:t>
      </w:r>
      <w:r w:rsidR="00C51151" w:rsidRPr="004008D5">
        <w:rPr>
          <w:rFonts w:asciiTheme="minorHAnsi" w:hAnsiTheme="minorHAnsi" w:cstheme="minorHAnsi"/>
          <w:spacing w:val="-2"/>
          <w:sz w:val="24"/>
        </w:rPr>
        <w:t>soit :</w:t>
      </w:r>
    </w:p>
    <w:p w:rsidR="00C51151" w:rsidRPr="004008D5" w:rsidRDefault="00C51151" w:rsidP="00907888">
      <w:pPr>
        <w:pStyle w:val="Corpsdetexte"/>
        <w:tabs>
          <w:tab w:val="num" w:pos="360"/>
        </w:tabs>
        <w:spacing w:after="0"/>
        <w:rPr>
          <w:rFonts w:asciiTheme="minorHAnsi" w:hAnsiTheme="minorHAnsi" w:cstheme="minorHAnsi"/>
          <w:spacing w:val="-2"/>
          <w:sz w:val="24"/>
        </w:rPr>
      </w:pPr>
    </w:p>
    <w:p w:rsidR="00C51151" w:rsidRPr="004008D5" w:rsidRDefault="00C51151" w:rsidP="004008D5">
      <w:pPr>
        <w:pStyle w:val="Paragraphedeliste"/>
        <w:numPr>
          <w:ilvl w:val="0"/>
          <w:numId w:val="3"/>
        </w:numPr>
        <w:jc w:val="both"/>
        <w:rPr>
          <w:rStyle w:val="Lienhypertexte"/>
          <w:rFonts w:asciiTheme="minorHAnsi" w:hAnsiTheme="minorHAnsi" w:cstheme="minorHAnsi"/>
          <w:b/>
          <w:bCs/>
          <w:color w:val="auto"/>
          <w:spacing w:val="-2"/>
          <w:sz w:val="24"/>
        </w:rPr>
      </w:pPr>
      <w:r w:rsidRPr="004008D5">
        <w:rPr>
          <w:rFonts w:asciiTheme="minorHAnsi" w:hAnsiTheme="minorHAnsi" w:cstheme="minorHAnsi"/>
          <w:spacing w:val="-2"/>
          <w:sz w:val="24"/>
        </w:rPr>
        <w:t xml:space="preserve">Sous un format PDF et par courrier électronique à l’adresse du coordinateur du projet : </w:t>
      </w:r>
      <w:hyperlink r:id="rId6" w:history="1">
        <w:r w:rsidRPr="004008D5">
          <w:rPr>
            <w:rStyle w:val="Lienhypertexte"/>
            <w:rFonts w:asciiTheme="minorHAnsi" w:hAnsiTheme="minorHAnsi" w:cstheme="minorHAnsi"/>
            <w:b/>
            <w:bCs/>
            <w:color w:val="auto"/>
            <w:sz w:val="24"/>
            <w:shd w:val="clear" w:color="auto" w:fill="FFFFFF"/>
          </w:rPr>
          <w:t>ayari.nizar@oc.com.tn</w:t>
        </w:r>
      </w:hyperlink>
    </w:p>
    <w:p w:rsidR="00C51151" w:rsidRPr="004008D5" w:rsidRDefault="00C51151" w:rsidP="00907888">
      <w:pPr>
        <w:pStyle w:val="Corpsdetexte"/>
        <w:spacing w:after="0"/>
        <w:rPr>
          <w:rStyle w:val="Lienhypertexte"/>
          <w:rFonts w:asciiTheme="minorHAnsi" w:hAnsiTheme="minorHAnsi" w:cstheme="minorHAnsi"/>
          <w:bCs/>
          <w:color w:val="auto"/>
          <w:spacing w:val="-2"/>
          <w:sz w:val="24"/>
        </w:rPr>
      </w:pPr>
    </w:p>
    <w:p w:rsidR="00C51151" w:rsidRPr="004008D5" w:rsidRDefault="00C51151" w:rsidP="004008D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</w:rPr>
      </w:pPr>
      <w:r w:rsidRPr="004008D5">
        <w:rPr>
          <w:rFonts w:asciiTheme="minorHAnsi" w:hAnsiTheme="minorHAnsi" w:cstheme="minorHAnsi"/>
          <w:spacing w:val="-2"/>
          <w:sz w:val="24"/>
        </w:rPr>
        <w:t xml:space="preserve">Déposées au bureau d’ordre </w:t>
      </w:r>
      <w:r w:rsidRPr="004008D5">
        <w:rPr>
          <w:rFonts w:asciiTheme="minorHAnsi" w:hAnsiTheme="minorHAnsi" w:cstheme="minorHAnsi"/>
          <w:b/>
          <w:bCs/>
          <w:spacing w:val="-2"/>
          <w:sz w:val="24"/>
        </w:rPr>
        <w:t>avant le 13/03/2024 à 13h00</w:t>
      </w:r>
      <w:r w:rsidR="004008D5">
        <w:rPr>
          <w:rFonts w:asciiTheme="minorHAnsi" w:hAnsiTheme="minorHAnsi" w:cstheme="minorHAnsi"/>
          <w:b/>
          <w:bCs/>
          <w:spacing w:val="-2"/>
          <w:sz w:val="24"/>
        </w:rPr>
        <w:t>,</w:t>
      </w:r>
      <w:r w:rsidRPr="004008D5">
        <w:rPr>
          <w:rFonts w:asciiTheme="minorHAnsi" w:hAnsiTheme="minorHAnsi" w:cstheme="minorHAnsi"/>
          <w:spacing w:val="-2"/>
          <w:sz w:val="24"/>
        </w:rPr>
        <w:t xml:space="preserve"> à l'adresse mentionnée ci-dessous et porter expressément la mention suivante :</w:t>
      </w:r>
    </w:p>
    <w:p w:rsidR="00C51151" w:rsidRPr="004008D5" w:rsidRDefault="00C51151" w:rsidP="00907888">
      <w:pPr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C51151" w:rsidRPr="004008D5" w:rsidRDefault="008E157B" w:rsidP="004008D5">
      <w:pPr>
        <w:jc w:val="center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>À</w:t>
      </w:r>
      <w:r w:rsidR="00C51151" w:rsidRPr="004008D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NE PAS OUVRIR</w:t>
      </w:r>
    </w:p>
    <w:p w:rsidR="00C51151" w:rsidRPr="004008D5" w:rsidRDefault="00C51151" w:rsidP="004008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>Avis de Manifestation d’Intérêt N°01-2024</w:t>
      </w:r>
    </w:p>
    <w:p w:rsidR="00C51151" w:rsidRPr="004008D5" w:rsidRDefault="00C51151" w:rsidP="004008D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 xml:space="preserve">Réalisation d’études techniques préalables aux travaux de réhabilitation du silo portuaire </w:t>
      </w:r>
      <w:r w:rsidR="008E157B">
        <w:rPr>
          <w:rFonts w:asciiTheme="minorHAnsi" w:hAnsiTheme="minorHAnsi" w:cstheme="minorHAnsi"/>
          <w:b/>
          <w:bCs/>
          <w:sz w:val="24"/>
          <w:szCs w:val="24"/>
        </w:rPr>
        <w:t>de</w:t>
      </w:r>
      <w:r w:rsidRPr="004008D5">
        <w:rPr>
          <w:rFonts w:asciiTheme="minorHAnsi" w:hAnsiTheme="minorHAnsi" w:cstheme="minorHAnsi"/>
          <w:b/>
          <w:bCs/>
          <w:sz w:val="24"/>
          <w:szCs w:val="24"/>
        </w:rPr>
        <w:t xml:space="preserve"> Radès et son extension d’une capacité additionnelle de stockage »</w:t>
      </w:r>
    </w:p>
    <w:p w:rsidR="00C51151" w:rsidRPr="004008D5" w:rsidRDefault="00C51151" w:rsidP="00907888">
      <w:pPr>
        <w:tabs>
          <w:tab w:val="left" w:pos="505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51151" w:rsidRPr="004008D5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4008D5">
        <w:rPr>
          <w:rFonts w:asciiTheme="minorHAnsi" w:hAnsiTheme="minorHAnsi" w:cstheme="minorHAnsi"/>
          <w:b/>
          <w:bCs/>
          <w:sz w:val="24"/>
          <w:szCs w:val="24"/>
        </w:rPr>
        <w:t>Adresse</w:t>
      </w:r>
      <w:r w:rsidRPr="004008D5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C51151" w:rsidRPr="004008D5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4008D5">
        <w:rPr>
          <w:rFonts w:asciiTheme="minorHAnsi" w:hAnsiTheme="minorHAnsi" w:cstheme="minorHAnsi"/>
          <w:sz w:val="24"/>
          <w:szCs w:val="24"/>
        </w:rPr>
        <w:t>OFFICE DES CÉRÉALES</w:t>
      </w:r>
    </w:p>
    <w:p w:rsidR="00C51151" w:rsidRPr="004008D5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4008D5">
        <w:rPr>
          <w:rFonts w:asciiTheme="minorHAnsi" w:hAnsiTheme="minorHAnsi" w:cstheme="minorHAnsi"/>
          <w:sz w:val="24"/>
          <w:szCs w:val="24"/>
        </w:rPr>
        <w:t>Projet d’appui en urgence à la sécurité alimentaire en Tunisie PAUSAT</w:t>
      </w:r>
    </w:p>
    <w:p w:rsidR="00C51151" w:rsidRPr="004008D5" w:rsidRDefault="00C51151" w:rsidP="004008D5">
      <w:pPr>
        <w:tabs>
          <w:tab w:val="left" w:pos="505"/>
          <w:tab w:val="center" w:pos="4320"/>
          <w:tab w:val="right" w:pos="8640"/>
        </w:tabs>
        <w:ind w:left="1276" w:firstLine="284"/>
        <w:jc w:val="both"/>
        <w:rPr>
          <w:rFonts w:asciiTheme="minorHAnsi" w:hAnsiTheme="minorHAnsi" w:cstheme="minorHAnsi"/>
          <w:spacing w:val="-2"/>
          <w:sz w:val="24"/>
          <w:szCs w:val="24"/>
          <w:lang w:eastAsia="ar-SA"/>
        </w:rPr>
      </w:pPr>
      <w:r w:rsidRPr="004008D5">
        <w:rPr>
          <w:rFonts w:asciiTheme="minorHAnsi" w:hAnsiTheme="minorHAnsi" w:cstheme="minorHAnsi"/>
          <w:sz w:val="24"/>
          <w:szCs w:val="24"/>
        </w:rPr>
        <w:t>30 rue Alain Savary, 1002 Tunis Belvédère</w:t>
      </w:r>
      <w:r w:rsidRPr="004008D5">
        <w:rPr>
          <w:rFonts w:asciiTheme="minorHAnsi" w:hAnsiTheme="minorHAnsi" w:cstheme="minorHAnsi"/>
          <w:sz w:val="24"/>
          <w:szCs w:val="24"/>
          <w:rtl/>
        </w:rPr>
        <w:t>.</w:t>
      </w:r>
    </w:p>
    <w:bookmarkEnd w:id="0"/>
    <w:p w:rsidR="003C482C" w:rsidRPr="00312304" w:rsidRDefault="003C482C" w:rsidP="00312304">
      <w:pPr>
        <w:rPr>
          <w:rFonts w:asciiTheme="minorHAnsi" w:hAnsiTheme="minorHAnsi" w:cstheme="minorHAnsi"/>
          <w:sz w:val="24"/>
          <w:szCs w:val="24"/>
        </w:rPr>
      </w:pPr>
    </w:p>
    <w:sectPr w:rsidR="003C482C" w:rsidRPr="00312304" w:rsidSect="008C44C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7CD1"/>
    <w:multiLevelType w:val="hybridMultilevel"/>
    <w:tmpl w:val="55F02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862D2"/>
    <w:multiLevelType w:val="hybridMultilevel"/>
    <w:tmpl w:val="ACD86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B0814"/>
    <w:multiLevelType w:val="hybridMultilevel"/>
    <w:tmpl w:val="65E6C8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9B577A"/>
    <w:rsid w:val="000838D1"/>
    <w:rsid w:val="002E331C"/>
    <w:rsid w:val="00312304"/>
    <w:rsid w:val="003C482C"/>
    <w:rsid w:val="004008D5"/>
    <w:rsid w:val="004E4F8D"/>
    <w:rsid w:val="00736275"/>
    <w:rsid w:val="00870CA2"/>
    <w:rsid w:val="008C44CF"/>
    <w:rsid w:val="008E157B"/>
    <w:rsid w:val="00907888"/>
    <w:rsid w:val="00997CA6"/>
    <w:rsid w:val="009B577A"/>
    <w:rsid w:val="00AA65E3"/>
    <w:rsid w:val="00B638D0"/>
    <w:rsid w:val="00B86A4B"/>
    <w:rsid w:val="00BD263B"/>
    <w:rsid w:val="00C51151"/>
    <w:rsid w:val="00DD41B3"/>
    <w:rsid w:val="00DE2B4B"/>
    <w:rsid w:val="00DF2566"/>
    <w:rsid w:val="00E010CD"/>
    <w:rsid w:val="00EE2939"/>
    <w:rsid w:val="00F92C8F"/>
    <w:rsid w:val="00FF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77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B577A"/>
    <w:rPr>
      <w:color w:val="0563C1"/>
      <w:u w:val="single"/>
    </w:rPr>
  </w:style>
  <w:style w:type="paragraph" w:styleId="Corpsdetexte">
    <w:name w:val="Body Text"/>
    <w:basedOn w:val="Normal"/>
    <w:link w:val="CorpsdetexteCar"/>
    <w:rsid w:val="009B577A"/>
    <w:pPr>
      <w:tabs>
        <w:tab w:val="left" w:pos="284"/>
      </w:tabs>
      <w:suppressAutoHyphens/>
      <w:spacing w:after="120"/>
      <w:jc w:val="both"/>
    </w:pPr>
    <w:rPr>
      <w:rFonts w:ascii="Times New Roman" w:eastAsia="Times New Roman" w:hAnsi="Times New Roman" w:cs="Times New Roman"/>
      <w:szCs w:val="24"/>
      <w:lang w:val="en-GB" w:eastAsia="ar-SA"/>
    </w:rPr>
  </w:style>
  <w:style w:type="character" w:customStyle="1" w:styleId="CorpsdetexteCar">
    <w:name w:val="Corps de texte Car"/>
    <w:basedOn w:val="Policepardfaut"/>
    <w:link w:val="Corpsdetexte"/>
    <w:rsid w:val="009B577A"/>
    <w:rPr>
      <w:rFonts w:ascii="Times New Roman" w:eastAsia="Times New Roman" w:hAnsi="Times New Roman" w:cs="Times New Roman"/>
      <w:kern w:val="0"/>
      <w:szCs w:val="24"/>
      <w:lang w:val="en-GB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C511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11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51151"/>
    <w:rPr>
      <w:rFonts w:ascii="Calibri" w:hAnsi="Calibri" w:cs="Calibri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11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1151"/>
    <w:rPr>
      <w:rFonts w:ascii="Calibri" w:hAnsi="Calibri" w:cs="Calibri"/>
      <w:b/>
      <w:bCs/>
      <w:kern w:val="0"/>
      <w:sz w:val="20"/>
      <w:szCs w:val="20"/>
    </w:rPr>
  </w:style>
  <w:style w:type="paragraph" w:styleId="Paragraphedeliste">
    <w:name w:val="List Paragraph"/>
    <w:aliases w:val="style 2,Paragraphe  revu,References,Numbered List Paragraph,Liste 1,List Paragraph1,Ha,Bullets,Liste couleur - Accent 12,Numbered Paragraph,Figures,Citation List,본문(내용),List Paragraph (numbered (a)),List Bullet Mary,Body,1,Titre1,RM1"/>
    <w:basedOn w:val="Normal"/>
    <w:link w:val="ParagraphedelisteCar"/>
    <w:uiPriority w:val="99"/>
    <w:qFormat/>
    <w:rsid w:val="00C51151"/>
    <w:pPr>
      <w:ind w:left="720"/>
      <w:contextualSpacing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ParagraphedelisteCar">
    <w:name w:val="Paragraphe de liste Car"/>
    <w:aliases w:val="style 2 Car,Paragraphe  revu Car,References Car,Numbered List Paragraph Car,Liste 1 Car,List Paragraph1 Car,Ha Car,Bullets Car,Liste couleur - Accent 12 Car,Numbered Paragraph Car,Figures Car,Citation List Car,본문(내용) Car,Body Car"/>
    <w:link w:val="Paragraphedeliste"/>
    <w:uiPriority w:val="99"/>
    <w:qFormat/>
    <w:locked/>
    <w:rsid w:val="00C51151"/>
    <w:rPr>
      <w:rFonts w:ascii="Times New Roman" w:eastAsia="Times New Roman" w:hAnsi="Times New Roman" w:cs="Times New Roman"/>
      <w:kern w:val="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ari.nizar@oc.com.tn" TargetMode="External"/><Relationship Id="rId5" Type="http://schemas.openxmlformats.org/officeDocument/2006/relationships/hyperlink" Target="http://www.oc.com.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Skouri</dc:creator>
  <cp:lastModifiedBy>abdelkerim.mejri</cp:lastModifiedBy>
  <cp:revision>2</cp:revision>
  <cp:lastPrinted>2024-02-20T14:57:00Z</cp:lastPrinted>
  <dcterms:created xsi:type="dcterms:W3CDTF">2024-02-22T07:31:00Z</dcterms:created>
  <dcterms:modified xsi:type="dcterms:W3CDTF">2024-02-22T07:31:00Z</dcterms:modified>
</cp:coreProperties>
</file>